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5B2E1">
      <w:pPr>
        <w:widowControl/>
        <w:numPr>
          <w:ilvl w:val="0"/>
          <w:numId w:val="0"/>
        </w:numPr>
        <w:jc w:val="center"/>
        <w:outlineLvl w:val="0"/>
        <w:rPr>
          <w:rFonts w:hint="eastAsia" w:ascii="宋体" w:hAnsi="宋体" w:cs="宋体"/>
          <w:b/>
          <w:sz w:val="36"/>
          <w:highlight w:val="none"/>
        </w:rPr>
      </w:pPr>
      <w:bookmarkStart w:id="0" w:name="_Toc20921"/>
      <w:r>
        <w:rPr>
          <w:rFonts w:hint="eastAsia" w:ascii="宋体" w:hAnsi="宋体" w:cs="宋体"/>
          <w:b/>
          <w:sz w:val="36"/>
          <w:highlight w:val="none"/>
          <w:lang w:val="en-US" w:eastAsia="zh-CN"/>
        </w:rPr>
        <w:t>红河州中医医院云桌面终端采购项目</w:t>
      </w:r>
      <w:r>
        <w:rPr>
          <w:rFonts w:hint="eastAsia" w:ascii="宋体" w:hAnsi="宋体" w:cs="宋体"/>
          <w:b/>
          <w:sz w:val="36"/>
          <w:highlight w:val="none"/>
        </w:rPr>
        <w:t>货物参数及</w:t>
      </w:r>
    </w:p>
    <w:p w14:paraId="447EC112">
      <w:pPr>
        <w:widowControl/>
        <w:numPr>
          <w:ilvl w:val="0"/>
          <w:numId w:val="0"/>
        </w:numPr>
        <w:jc w:val="center"/>
        <w:outlineLvl w:val="0"/>
        <w:rPr>
          <w:rFonts w:ascii="宋体" w:hAnsi="宋体" w:cs="宋体"/>
          <w:b/>
          <w:sz w:val="36"/>
          <w:highlight w:val="none"/>
        </w:rPr>
      </w:pPr>
      <w:bookmarkStart w:id="2" w:name="_GoBack"/>
      <w:bookmarkEnd w:id="2"/>
      <w:r>
        <w:rPr>
          <w:rFonts w:hint="eastAsia" w:ascii="宋体" w:hAnsi="宋体" w:cs="宋体"/>
          <w:b/>
          <w:sz w:val="36"/>
          <w:highlight w:val="none"/>
        </w:rPr>
        <w:t>技术要求</w:t>
      </w:r>
      <w:bookmarkEnd w:id="0"/>
      <w:bookmarkStart w:id="1" w:name="_Toc213141118"/>
    </w:p>
    <w:bookmarkEnd w:id="1"/>
    <w:p w14:paraId="2EB90248">
      <w:pPr>
        <w:numPr>
          <w:ilvl w:val="0"/>
          <w:numId w:val="1"/>
        </w:numPr>
        <w:adjustRightInd w:val="0"/>
        <w:snapToGrid w:val="0"/>
        <w:spacing w:line="440" w:lineRule="exact"/>
        <w:ind w:left="0" w:leftChars="0" w:firstLine="0" w:firstLineChars="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采购内容</w:t>
      </w:r>
      <w:r>
        <w:rPr>
          <w:rFonts w:hint="eastAsia" w:ascii="宋体" w:hAnsi="宋体" w:cs="宋体"/>
          <w:b/>
          <w:sz w:val="28"/>
          <w:szCs w:val="28"/>
          <w:highlight w:val="none"/>
          <w:lang w:val="en-US" w:eastAsia="zh-CN"/>
        </w:rPr>
        <w:t>及技术要求</w:t>
      </w:r>
    </w:p>
    <w:p w14:paraId="1970184E">
      <w:pPr>
        <w:pStyle w:val="2"/>
        <w:ind w:left="0" w:leftChars="0" w:firstLine="0" w:firstLineChars="0"/>
        <w:rPr>
          <w:highlight w:val="none"/>
        </w:rPr>
      </w:pPr>
    </w:p>
    <w:tbl>
      <w:tblPr>
        <w:tblStyle w:val="6"/>
        <w:tblW w:w="97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38"/>
        <w:gridCol w:w="1320"/>
        <w:gridCol w:w="6447"/>
        <w:gridCol w:w="1215"/>
      </w:tblGrid>
      <w:tr w14:paraId="0279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1E2DBF">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序号</w:t>
            </w:r>
          </w:p>
        </w:tc>
        <w:tc>
          <w:tcPr>
            <w:tcW w:w="1320"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379805">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产品名称</w:t>
            </w:r>
          </w:p>
        </w:tc>
        <w:tc>
          <w:tcPr>
            <w:tcW w:w="6447"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08243C">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产品参数</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D80860">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数量</w:t>
            </w:r>
          </w:p>
        </w:tc>
      </w:tr>
      <w:tr w14:paraId="2651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97" w:hRule="atLeast"/>
        </w:trPr>
        <w:tc>
          <w:tcPr>
            <w:tcW w:w="73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766318">
            <w:pPr>
              <w:keepNext w:val="0"/>
              <w:keepLines w:val="0"/>
              <w:widowControl/>
              <w:suppressLineNumbers w:val="0"/>
              <w:jc w:val="center"/>
              <w:textAlignment w:val="center"/>
              <w:rPr>
                <w:rFonts w:hint="default" w:ascii="微软雅黑" w:hAnsi="微软雅黑" w:eastAsia="微软雅黑" w:cs="微软雅黑"/>
                <w:b w:val="0"/>
                <w:bCs w:val="0"/>
                <w:i w:val="0"/>
                <w:iCs w:val="0"/>
                <w:color w:val="auto"/>
                <w:kern w:val="0"/>
                <w:sz w:val="24"/>
                <w:szCs w:val="24"/>
                <w:u w:val="none"/>
                <w:lang w:val="en-US" w:eastAsia="zh-CN" w:bidi="ar"/>
              </w:rPr>
            </w:pPr>
            <w:r>
              <w:rPr>
                <w:rFonts w:hint="eastAsia" w:ascii="宋体" w:hAnsi="宋体" w:cs="宋体"/>
                <w:i w:val="0"/>
                <w:iCs w:val="0"/>
                <w:color w:val="000000"/>
                <w:sz w:val="22"/>
                <w:szCs w:val="22"/>
                <w:u w:val="none"/>
                <w:lang w:val="en-US" w:eastAsia="zh-CN"/>
              </w:rPr>
              <w:t>1</w:t>
            </w:r>
          </w:p>
        </w:tc>
        <w:tc>
          <w:tcPr>
            <w:tcW w:w="1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0E11C7">
            <w:pPr>
              <w:keepNext w:val="0"/>
              <w:keepLines w:val="0"/>
              <w:widowControl/>
              <w:suppressLineNumbers w:val="0"/>
              <w:jc w:val="left"/>
              <w:textAlignment w:val="center"/>
              <w:rPr>
                <w:rFonts w:hint="eastAsia" w:ascii="微软雅黑" w:hAnsi="微软雅黑" w:eastAsia="微软雅黑" w:cs="微软雅黑"/>
                <w:b/>
                <w:bCs/>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云桌面服务</w:t>
            </w:r>
            <w:r>
              <w:rPr>
                <w:rFonts w:hint="eastAsia" w:ascii="宋体" w:hAnsi="宋体" w:cs="宋体"/>
                <w:i w:val="0"/>
                <w:iCs w:val="0"/>
                <w:color w:val="000000"/>
                <w:kern w:val="0"/>
                <w:sz w:val="22"/>
                <w:szCs w:val="22"/>
                <w:u w:val="none"/>
                <w:lang w:val="en-US" w:eastAsia="zh-CN" w:bidi="ar"/>
              </w:rPr>
              <w:t>终端</w:t>
            </w:r>
          </w:p>
        </w:tc>
        <w:tc>
          <w:tcPr>
            <w:tcW w:w="6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253F0E">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为保证云桌面软件系统的兼容效果和稳定运行，所有终端均需采用x86架构，且为国内自主品牌。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2、配置CPU性能不低于Intel第十二代i5六核十二线程处理器（最大睿频≥4.4GHz）；内存容量≥16GB，配置集成显卡；本地存储≥512 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3、为节约桌面空间，终端主体尺寸≤200mm（宽）×200mm（深）×44.4mm（高）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4、USB接口数量≥9个（其中USB 3.0接口≥4个，Type-C接口≥1个），千兆网口≥1个，VGA接口≥1个，HDMI接口≥1个，DP接口≥1个，音频输入输出接口≥1对，支持4段式耳机音频输入及输出。提供官网链接和截图证明。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5、配置内存槽位≥1个，配置硬盘槽位≥1个。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保障所投设备质量优异、可靠性高，要求所投设备平均故障间隔时间（MTBF）≥30万小时，针对此功能提供第三方测试机构出具的测试报告和证书复印件并加盖厂商公章，并提供证书官方查询链接和截图，其中测试报告需具备CNAS或CMA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防止人体触电，要求所投终端产品满足抗电强度要求：（1）电源初级与地之间施加AC1500V产品无击穿现象；（2）电源初级与次级之间施加AC3000V产品无击穿现象；（3）电源初级与机壳之间施加AC3000V产品无击穿现象，针对此功能需提供国家级权威测试机构出具的证书复印件，要求证书具有 CMA或 CNAS认证。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夏季为雷雨季，常因雷电影响而导致设备损坏，为防止类似情况出现, 要求对所投设备施加电源端口试验电压4KV后，12、设备不出现故障。并针对此功能需提供国家级权威测试机构出具的证书复印件，要求证书具有 CMA或 CNAS认证。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所投设备质量优异，可适应宽泛的环境温度变化范围，经过-20℃—70℃的环境考验，依旧可以正常使用，针对以上要求需提供第三方权威测试报告复印件，其中证明材料需官方可查并提供官方查询链接和截图，报告需具备CNAS、CMA标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夏季为高温炎热多雨季节，常常会出现潮热环境，为防止类似天气对设备造成损害，要求所投设备在50°C、95%RH湿度的潮热环境下不会受损，针对以上要求需提供第三方权威测试报告复印件，其中证明材料需官方可查并提供官方查询链接和截图，报告需具备CNAS、CMA标志。</w:t>
            </w:r>
          </w:p>
          <w:p w14:paraId="251AEA3A">
            <w:pPr>
              <w:pStyle w:val="2"/>
              <w:numPr>
                <w:numId w:val="0"/>
              </w:numPr>
              <w:rPr>
                <w:rFonts w:hint="eastAsia" w:ascii="微软雅黑" w:hAnsi="微软雅黑" w:eastAsia="微软雅黑" w:cs="微软雅黑"/>
                <w:b/>
                <w:bCs/>
                <w:i w:val="0"/>
                <w:iCs w:val="0"/>
                <w:color w:val="auto"/>
                <w:kern w:val="0"/>
                <w:sz w:val="24"/>
                <w:szCs w:val="24"/>
                <w:u w:val="none"/>
                <w:lang w:val="en-US" w:eastAsia="zh-CN" w:bidi="ar"/>
              </w:rPr>
            </w:pP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A54732">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1台</w:t>
            </w:r>
          </w:p>
        </w:tc>
      </w:tr>
      <w:tr w14:paraId="3DA5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7A33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1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B4FFC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终端</w:t>
            </w:r>
          </w:p>
        </w:tc>
        <w:tc>
          <w:tcPr>
            <w:tcW w:w="6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8E93C3">
            <w:pPr>
              <w:keepNext w:val="0"/>
              <w:keepLines w:val="0"/>
              <w:widowControl/>
              <w:numPr>
                <w:ilvl w:val="0"/>
                <w:numId w:val="3"/>
              </w:numPr>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为保证云桌面软件系统的兼容效果和稳定运行，所有终端均需采用x86架构，且为国内自主品牌。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2、配置CPU性能不低于Intel第十二代i5八核十二线程处理器（性能核心≥4个，最大睿频≥4.4GHz）；内存容量≥8GB，配置集成显卡；本地存储≥512 GB SSD。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3、为节约桌面空间，终端主体尺寸≤200mm（宽）×200mm（深）×44.4mm（高）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4、USB接口数量≥8个（其中USB 3.0接口≥4个，USB 2.0接口≥4个），千兆网口≥1个，VGA接口≥1个，HDMI接口≥1个，音频输入输出接口≥1对，支持4段式耳机音频输入及输出。提供官网链接和截图证明。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5、配置内存槽位≥1个，配置硬盘槽位≥1个。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为保障所投设备质量优异、可靠性高，要求所投设备平均故障间隔时间（MTBF）≥30万小时，针对此功能提供第三方测试机构出具的测试报告和证书复印件并加盖厂商公章，并提供证书官方查询链接和截图，其中测试报告需具备CNAS或CMA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防止人体触电，要求所投终端产品满足抗电强度要求：（1）电源初级与地之间施加AC1500V产品无击穿现象；（2）电源初级与次级之间施加AC3000V产品无击穿现象；（3）电源初级与机壳之间施加AC3000V产品无击穿现象，针对此功能需提供国家级权威测试机构出具的证书复印件，要求证书具有 CMA或 CNAS认证。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夏季为雷雨季，常因雷电影响而导致设备损坏，为防止类似情况出现, 要求对所投设备施加电源端口试验电压4KV后，12、设备不出现故障。并针对此功能需提供国家级权威测试机构出具的证书复印件，要求证书具有 CMA或 CNAS认证。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所投设备质量优异，可适应宽泛的环境温度变化范围，经过-20℃—70℃的环境考验，依旧可以正常使用，针对以上要求需提供第三方权威测试报告复印件，其中证明材料需官方可查并提供官方查询链接和截图，报告需具备CNAS、CMA标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夏季为高温炎热多雨季节，常常会出现潮热环境，为防止类似天气对设备造成损害，要求所投设备在50°C、95%RH湿度的潮热环境下不会受损，针对以上要求需提供第三方权威测试报告复印件，其中证明材料需官方可查并提供官方查询链接和截图，报告需具备CNAS、CMA标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11.终端虚拟化软件采用B/S（Broswer/Server)软件架构，一台终端可支持对VDI、IDV、TCI三类终端的统一纳管，提供实际界面截图以及提供第三方测试机构检测证明材料并加盖设备厂商公章。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12.为满足基本办公的使用需求，要求镜像模版可以使用多种类型的操作系统，包括且不限于：win7 、win 10、win server 2008、win server 2012、Redhat、Ubuntu、UOS、Kylin等操作系统版本，要求提供实际界面截图证明。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在桌面还原后，保留故障系统的历史系统盘，并自动将故障系统盘作为数据盘挂载到新桌面内，便于用户拷贝数据，投标时提供产品彩页或者功能截图或者官网截图或者第三方检验（检测）机构出具的具有CMA或CNAS标识的检验（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镜像静默下载功能，镜像下载过程中可中断下载，进入桌面，无需等待镜像下载完毕后才能启动桌面，投标时提供产品彩页或者功能截图或者官网截图或者第三方检验（检测）机构出具的具有CMA或CNAS标识的检验（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全局屏幕水印，显示信息包括不少于用户名，云桌面名，云桌面IP、云桌面MAC地址，自定义内容，支持设置透明度，角度，字体大小和颜色，投标时提供产品彩页或者功能截图或者官网截图或者第三方检验（检测）机构出具的具有CMA或CNAS标识的检验（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16.▲支持通过推送安装包、应用磁盘的方式，为桌面提供应用管理能力，投标时提供产品彩页或者功能截图或者官网截图或者第三方检验（检测）机构出具的具有CMA或CNAS标识的检验（检测）报告复印件。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提供现有PC电脑云化管理工具，可安装在现有PC或虚拟机环境中，支持显示基本硬件信息，支持用户端可以主动报障功能，投标时提供产品彩页或者功能截图或者官网截图或者第三方检验（检测）机构出具的具有CMA或CNAS标识的检验（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投标所选终端需提供3C证书及节能证书。提供证书复印件</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DD7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15台</w:t>
            </w:r>
          </w:p>
        </w:tc>
      </w:tr>
      <w:tr w14:paraId="5DBF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CB732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1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944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键鼠有线套件</w:t>
            </w:r>
          </w:p>
        </w:tc>
        <w:tc>
          <w:tcPr>
            <w:tcW w:w="6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7A89C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接口:USB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分辨率:1200DPI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线缆长度:180CM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鼠标尺寸:117*60*30MM</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E0C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15套</w:t>
            </w:r>
          </w:p>
        </w:tc>
      </w:tr>
      <w:tr w14:paraId="3D64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11" w:hRule="atLeast"/>
        </w:trPr>
        <w:tc>
          <w:tcPr>
            <w:tcW w:w="73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F2877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w:t>
            </w:r>
          </w:p>
        </w:tc>
        <w:tc>
          <w:tcPr>
            <w:tcW w:w="1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086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23.8英寸显示器 </w:t>
            </w:r>
          </w:p>
        </w:tc>
        <w:tc>
          <w:tcPr>
            <w:tcW w:w="6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694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1)VA广视角技术，画面更清晰锐利，3000:1高静态对比度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2)100Hz高刷新率，4ms灰阶响应时间[*]，带来清晰流畅的高清画质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3)不闪屏技术，爱眼更健康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4)HDMI高清接口，方便接驳蓝光DVD或PS，Xbox 等设备，直接播放高清内容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5)DCR丽比技术，动态对比度高达20,000,000:1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6)DCB活彩技术，5种增彩模式；Eco Mode 6种亮度情景模式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7)低蓝光设置，轻松切换低蓝光情景模式，降低有害蓝光影响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8)Clear Vision功能，使低分辨率的扫描图片和文件更清晰，更锐利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9)HDR Mode设置，优化调整画面颜色与对比度，模拟呈现HDR效果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10)纤薄外观设计，天侧薄至8.6mm，2mm微边框，3.5mm窄画面黑边</w:t>
            </w:r>
          </w:p>
        </w:tc>
        <w:tc>
          <w:tcPr>
            <w:tcW w:w="121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293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15台</w:t>
            </w:r>
          </w:p>
        </w:tc>
      </w:tr>
    </w:tbl>
    <w:p w14:paraId="77449AB4"/>
    <w:p w14:paraId="03A0DC4D">
      <w:pPr>
        <w:pStyle w:val="2"/>
      </w:pPr>
    </w:p>
    <w:p w14:paraId="3168E1E6">
      <w:pPr>
        <w:pStyle w:val="2"/>
        <w:jc w:val="center"/>
        <w:rPr>
          <w:sz w:val="24"/>
          <w:szCs w:val="32"/>
        </w:rPr>
      </w:pPr>
      <w:r>
        <w:rPr>
          <w:rFonts w:hint="eastAsia"/>
          <w:b/>
          <w:bCs/>
          <w:sz w:val="36"/>
          <w:szCs w:val="44"/>
        </w:rPr>
        <w:t>红河州中医医院云桌面终端采购项目</w:t>
      </w:r>
      <w:r>
        <w:rPr>
          <w:rFonts w:hint="eastAsia"/>
          <w:b/>
          <w:bCs/>
          <w:sz w:val="36"/>
          <w:szCs w:val="44"/>
          <w:lang w:val="en-US" w:eastAsia="zh-CN"/>
        </w:rPr>
        <w:t>报价表</w:t>
      </w:r>
    </w:p>
    <w:tbl>
      <w:tblPr>
        <w:tblStyle w:val="7"/>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86"/>
        <w:gridCol w:w="1175"/>
        <w:gridCol w:w="3538"/>
        <w:gridCol w:w="1050"/>
        <w:gridCol w:w="812"/>
        <w:gridCol w:w="1125"/>
        <w:gridCol w:w="1125"/>
      </w:tblGrid>
      <w:tr w14:paraId="677F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14:paraId="309C27CE">
            <w:pPr>
              <w:pStyle w:val="2"/>
              <w:ind w:left="0" w:leftChars="0" w:firstLine="0" w:firstLineChars="0"/>
              <w:jc w:val="center"/>
              <w:rPr>
                <w:rFonts w:hint="eastAsia"/>
                <w:vertAlign w:val="baseline"/>
                <w:lang w:val="en-US" w:eastAsia="zh-CN"/>
              </w:rPr>
            </w:pPr>
            <w:r>
              <w:rPr>
                <w:rFonts w:hint="eastAsia"/>
                <w:vertAlign w:val="baseline"/>
                <w:lang w:val="en-US" w:eastAsia="zh-CN"/>
              </w:rPr>
              <w:t>序号</w:t>
            </w:r>
          </w:p>
        </w:tc>
        <w:tc>
          <w:tcPr>
            <w:tcW w:w="1175" w:type="dxa"/>
          </w:tcPr>
          <w:p w14:paraId="7FD07148">
            <w:pPr>
              <w:pStyle w:val="2"/>
              <w:ind w:left="0" w:leftChars="0" w:firstLine="0" w:firstLineChars="0"/>
              <w:jc w:val="center"/>
              <w:rPr>
                <w:rFonts w:hint="eastAsia"/>
                <w:vertAlign w:val="baseline"/>
                <w:lang w:val="en-US" w:eastAsia="zh-CN"/>
              </w:rPr>
            </w:pPr>
            <w:r>
              <w:rPr>
                <w:rFonts w:hint="eastAsia"/>
                <w:vertAlign w:val="baseline"/>
                <w:lang w:val="en-US" w:eastAsia="zh-CN"/>
              </w:rPr>
              <w:t>产品名称</w:t>
            </w:r>
          </w:p>
        </w:tc>
        <w:tc>
          <w:tcPr>
            <w:tcW w:w="3538" w:type="dxa"/>
          </w:tcPr>
          <w:p w14:paraId="2C2558AA">
            <w:pPr>
              <w:pStyle w:val="2"/>
              <w:ind w:left="0" w:leftChars="0" w:firstLine="0" w:firstLineChars="0"/>
              <w:jc w:val="center"/>
              <w:rPr>
                <w:rFonts w:hint="eastAsia"/>
                <w:vertAlign w:val="baseline"/>
                <w:lang w:val="en-US" w:eastAsia="zh-CN"/>
              </w:rPr>
            </w:pPr>
            <w:r>
              <w:rPr>
                <w:rFonts w:hint="eastAsia"/>
                <w:vertAlign w:val="baseline"/>
                <w:lang w:val="en-US" w:eastAsia="zh-CN"/>
              </w:rPr>
              <w:t>产品描述</w:t>
            </w:r>
          </w:p>
        </w:tc>
        <w:tc>
          <w:tcPr>
            <w:tcW w:w="1050" w:type="dxa"/>
          </w:tcPr>
          <w:p w14:paraId="757C4693">
            <w:pPr>
              <w:pStyle w:val="2"/>
              <w:ind w:left="0" w:leftChars="0" w:firstLine="0" w:firstLineChars="0"/>
              <w:jc w:val="center"/>
              <w:rPr>
                <w:rFonts w:hint="eastAsia"/>
                <w:vertAlign w:val="baseline"/>
                <w:lang w:val="en-US" w:eastAsia="zh-CN"/>
              </w:rPr>
            </w:pPr>
            <w:r>
              <w:rPr>
                <w:rFonts w:hint="eastAsia"/>
                <w:vertAlign w:val="baseline"/>
                <w:lang w:val="en-US" w:eastAsia="zh-CN"/>
              </w:rPr>
              <w:t>单价（元）</w:t>
            </w:r>
          </w:p>
        </w:tc>
        <w:tc>
          <w:tcPr>
            <w:tcW w:w="812" w:type="dxa"/>
          </w:tcPr>
          <w:p w14:paraId="74A15C91">
            <w:pPr>
              <w:pStyle w:val="2"/>
              <w:ind w:left="0" w:leftChars="0" w:firstLine="0" w:firstLineChars="0"/>
              <w:jc w:val="center"/>
              <w:rPr>
                <w:rFonts w:hint="eastAsia"/>
                <w:vertAlign w:val="baseline"/>
                <w:lang w:val="en-US" w:eastAsia="zh-CN"/>
              </w:rPr>
            </w:pPr>
            <w:r>
              <w:rPr>
                <w:rFonts w:hint="eastAsia"/>
                <w:vertAlign w:val="baseline"/>
                <w:lang w:val="en-US" w:eastAsia="zh-CN"/>
              </w:rPr>
              <w:t>数量</w:t>
            </w:r>
          </w:p>
        </w:tc>
        <w:tc>
          <w:tcPr>
            <w:tcW w:w="1125" w:type="dxa"/>
          </w:tcPr>
          <w:p w14:paraId="4EC3F9F6">
            <w:pPr>
              <w:pStyle w:val="2"/>
              <w:ind w:left="0" w:leftChars="0" w:firstLine="0" w:firstLineChars="0"/>
              <w:jc w:val="center"/>
              <w:rPr>
                <w:rFonts w:hint="eastAsia"/>
                <w:vertAlign w:val="baseline"/>
                <w:lang w:val="en-US" w:eastAsia="zh-CN"/>
              </w:rPr>
            </w:pPr>
            <w:r>
              <w:rPr>
                <w:rFonts w:hint="eastAsia"/>
                <w:vertAlign w:val="baseline"/>
                <w:lang w:val="en-US" w:eastAsia="zh-CN"/>
              </w:rPr>
              <w:t>总价（元）</w:t>
            </w:r>
          </w:p>
        </w:tc>
        <w:tc>
          <w:tcPr>
            <w:tcW w:w="1125" w:type="dxa"/>
          </w:tcPr>
          <w:p w14:paraId="6E3F6A5C">
            <w:pPr>
              <w:pStyle w:val="2"/>
              <w:ind w:left="0" w:leftChars="0" w:firstLine="0" w:firstLineChars="0"/>
              <w:jc w:val="center"/>
              <w:rPr>
                <w:rFonts w:hint="default"/>
                <w:vertAlign w:val="baseline"/>
                <w:lang w:val="en-US" w:eastAsia="zh-CN"/>
              </w:rPr>
            </w:pPr>
            <w:r>
              <w:rPr>
                <w:rFonts w:hint="eastAsia"/>
                <w:vertAlign w:val="baseline"/>
                <w:lang w:val="en-US" w:eastAsia="zh-CN"/>
              </w:rPr>
              <w:t>报价（元）</w:t>
            </w:r>
          </w:p>
        </w:tc>
      </w:tr>
      <w:tr w14:paraId="41E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4" w:hRule="atLeast"/>
        </w:trPr>
        <w:tc>
          <w:tcPr>
            <w:tcW w:w="886" w:type="dxa"/>
          </w:tcPr>
          <w:p w14:paraId="328187CB">
            <w:pPr>
              <w:pStyle w:val="2"/>
              <w:ind w:left="0" w:leftChars="0" w:firstLine="0" w:firstLineChars="0"/>
              <w:jc w:val="center"/>
              <w:rPr>
                <w:rFonts w:hint="eastAsia"/>
                <w:vertAlign w:val="baseline"/>
                <w:lang w:val="en-US" w:eastAsia="zh-CN"/>
              </w:rPr>
            </w:pPr>
            <w:r>
              <w:rPr>
                <w:rFonts w:hint="eastAsia"/>
                <w:vertAlign w:val="baseline"/>
                <w:lang w:val="en-US" w:eastAsia="zh-CN"/>
              </w:rPr>
              <w:t>1</w:t>
            </w:r>
          </w:p>
        </w:tc>
        <w:tc>
          <w:tcPr>
            <w:tcW w:w="1175" w:type="dxa"/>
          </w:tcPr>
          <w:p w14:paraId="61A3A877">
            <w:pPr>
              <w:pStyle w:val="2"/>
              <w:ind w:left="0" w:leftChars="0" w:firstLine="0" w:firstLineChars="0"/>
              <w:jc w:val="center"/>
              <w:rPr>
                <w:rFonts w:hint="default"/>
                <w:vertAlign w:val="baseline"/>
                <w:lang w:val="en-US" w:eastAsia="zh-CN"/>
              </w:rPr>
            </w:pPr>
            <w:r>
              <w:rPr>
                <w:rFonts w:hint="eastAsia"/>
                <w:vertAlign w:val="baseline"/>
                <w:lang w:val="en-US" w:eastAsia="zh-CN"/>
              </w:rPr>
              <w:t>云桌面服务终端</w:t>
            </w:r>
          </w:p>
        </w:tc>
        <w:tc>
          <w:tcPr>
            <w:tcW w:w="3538" w:type="dxa"/>
          </w:tcPr>
          <w:p w14:paraId="0D57397F">
            <w:pPr>
              <w:pStyle w:val="2"/>
              <w:ind w:left="0" w:leftChars="0" w:firstLine="0" w:firstLineChars="0"/>
              <w:jc w:val="center"/>
              <w:rPr>
                <w:rFonts w:hint="eastAsia"/>
                <w:vertAlign w:val="baseline"/>
                <w:lang w:val="en-US" w:eastAsia="zh-CN"/>
              </w:rPr>
            </w:pPr>
            <w:r>
              <w:rPr>
                <w:rFonts w:hint="eastAsia"/>
                <w:vertAlign w:val="baseline"/>
                <w:lang w:val="en-US" w:eastAsia="zh-CN"/>
              </w:rPr>
              <w:t xml:space="preserve">Intel第十二代i5六核十二线程处理器（处理器主频≥2.5GHz）；16GB内存，Intel UHD 730集成显卡；512 GB SSD本地存储，千兆网口，8个USB口；默认为MINI服务器，可支持刷为IDV终端使用；无需额外购买授权。 </w:t>
            </w:r>
          </w:p>
        </w:tc>
        <w:tc>
          <w:tcPr>
            <w:tcW w:w="1050" w:type="dxa"/>
          </w:tcPr>
          <w:p w14:paraId="136EF8DD">
            <w:pPr>
              <w:pStyle w:val="2"/>
              <w:ind w:left="0" w:leftChars="0" w:firstLine="0" w:firstLineChars="0"/>
              <w:jc w:val="center"/>
              <w:rPr>
                <w:rFonts w:hint="default"/>
                <w:vertAlign w:val="baseline"/>
                <w:lang w:val="en-US" w:eastAsia="zh-CN"/>
              </w:rPr>
            </w:pPr>
            <w:r>
              <w:rPr>
                <w:rFonts w:hint="eastAsia"/>
                <w:vertAlign w:val="baseline"/>
                <w:lang w:val="en-US" w:eastAsia="zh-CN"/>
              </w:rPr>
              <w:t>7450</w:t>
            </w:r>
          </w:p>
        </w:tc>
        <w:tc>
          <w:tcPr>
            <w:tcW w:w="812" w:type="dxa"/>
          </w:tcPr>
          <w:p w14:paraId="3028F494">
            <w:pPr>
              <w:pStyle w:val="2"/>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125" w:type="dxa"/>
          </w:tcPr>
          <w:p w14:paraId="567F814A">
            <w:pPr>
              <w:pStyle w:val="2"/>
              <w:ind w:left="0" w:leftChars="0" w:firstLine="0" w:firstLineChars="0"/>
              <w:jc w:val="center"/>
              <w:rPr>
                <w:rFonts w:hint="default"/>
                <w:vertAlign w:val="baseline"/>
                <w:lang w:val="en-US" w:eastAsia="zh-CN"/>
              </w:rPr>
            </w:pPr>
            <w:r>
              <w:rPr>
                <w:rFonts w:hint="eastAsia"/>
                <w:vertAlign w:val="baseline"/>
                <w:lang w:val="en-US" w:eastAsia="zh-CN"/>
              </w:rPr>
              <w:t>7450</w:t>
            </w:r>
          </w:p>
        </w:tc>
        <w:tc>
          <w:tcPr>
            <w:tcW w:w="1125" w:type="dxa"/>
          </w:tcPr>
          <w:p w14:paraId="1F55C80E">
            <w:pPr>
              <w:pStyle w:val="2"/>
              <w:ind w:left="0" w:leftChars="0" w:firstLine="0" w:firstLineChars="0"/>
              <w:jc w:val="center"/>
              <w:rPr>
                <w:rFonts w:hint="eastAsia"/>
                <w:vertAlign w:val="baseline"/>
                <w:lang w:val="en-US" w:eastAsia="zh-CN"/>
              </w:rPr>
            </w:pPr>
          </w:p>
        </w:tc>
      </w:tr>
      <w:tr w14:paraId="7B14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472" w:hRule="atLeast"/>
        </w:trPr>
        <w:tc>
          <w:tcPr>
            <w:tcW w:w="886" w:type="dxa"/>
          </w:tcPr>
          <w:p w14:paraId="7571AF55">
            <w:pPr>
              <w:pStyle w:val="2"/>
              <w:ind w:left="0" w:leftChars="0" w:firstLine="0" w:firstLineChars="0"/>
              <w:jc w:val="center"/>
              <w:rPr>
                <w:rFonts w:hint="eastAsia"/>
                <w:vertAlign w:val="baseline"/>
                <w:lang w:val="en-US" w:eastAsia="zh-CN"/>
              </w:rPr>
            </w:pPr>
            <w:r>
              <w:rPr>
                <w:rFonts w:hint="eastAsia"/>
                <w:vertAlign w:val="baseline"/>
                <w:lang w:val="en-US" w:eastAsia="zh-CN"/>
              </w:rPr>
              <w:t>2</w:t>
            </w:r>
          </w:p>
        </w:tc>
        <w:tc>
          <w:tcPr>
            <w:tcW w:w="1175" w:type="dxa"/>
          </w:tcPr>
          <w:p w14:paraId="743E2118">
            <w:pPr>
              <w:pStyle w:val="2"/>
              <w:ind w:left="0" w:leftChars="0" w:firstLine="0" w:firstLineChars="0"/>
              <w:jc w:val="center"/>
              <w:rPr>
                <w:rFonts w:hint="default"/>
                <w:vertAlign w:val="baseline"/>
                <w:lang w:val="en-US" w:eastAsia="zh-CN"/>
              </w:rPr>
            </w:pPr>
            <w:r>
              <w:rPr>
                <w:rFonts w:hint="eastAsia"/>
                <w:vertAlign w:val="baseline"/>
                <w:lang w:val="en-US" w:eastAsia="zh-CN"/>
              </w:rPr>
              <w:t>终端</w:t>
            </w:r>
          </w:p>
        </w:tc>
        <w:tc>
          <w:tcPr>
            <w:tcW w:w="3538" w:type="dxa"/>
          </w:tcPr>
          <w:p w14:paraId="12F630A1">
            <w:pPr>
              <w:pStyle w:val="2"/>
              <w:ind w:left="0" w:leftChars="0" w:firstLine="0" w:firstLineChars="0"/>
              <w:jc w:val="center"/>
              <w:rPr>
                <w:rFonts w:hint="eastAsia"/>
                <w:vertAlign w:val="baseline"/>
                <w:lang w:val="en-US" w:eastAsia="zh-CN"/>
              </w:rPr>
            </w:pPr>
            <w:r>
              <w:rPr>
                <w:rFonts w:hint="eastAsia"/>
                <w:vertAlign w:val="baseline"/>
                <w:lang w:val="en-US" w:eastAsia="zh-CN"/>
              </w:rPr>
              <w:t xml:space="preserve">Intel第十二代i5六核十二线程处理器（处理器主频≥2.5GHz）；16GB内存，Intel UHD 730集成显卡；512 GB SSD本地存储，千兆网口，8个USB口；默认为MINI服务器，可支持刷为IDV终端使用；无需额外购买授权。 </w:t>
            </w:r>
          </w:p>
        </w:tc>
        <w:tc>
          <w:tcPr>
            <w:tcW w:w="1050" w:type="dxa"/>
          </w:tcPr>
          <w:p w14:paraId="3A543C2B">
            <w:pPr>
              <w:pStyle w:val="2"/>
              <w:ind w:left="0" w:leftChars="0" w:firstLine="0" w:firstLineChars="0"/>
              <w:jc w:val="center"/>
              <w:rPr>
                <w:rFonts w:hint="default"/>
                <w:vertAlign w:val="baseline"/>
                <w:lang w:val="en-US" w:eastAsia="zh-CN"/>
              </w:rPr>
            </w:pPr>
            <w:r>
              <w:rPr>
                <w:rFonts w:hint="eastAsia"/>
                <w:vertAlign w:val="baseline"/>
                <w:lang w:val="en-US" w:eastAsia="zh-CN"/>
              </w:rPr>
              <w:t>4550</w:t>
            </w:r>
          </w:p>
        </w:tc>
        <w:tc>
          <w:tcPr>
            <w:tcW w:w="812" w:type="dxa"/>
          </w:tcPr>
          <w:p w14:paraId="3DDE22E5">
            <w:pPr>
              <w:pStyle w:val="2"/>
              <w:ind w:left="0" w:leftChars="0" w:firstLine="0" w:firstLineChars="0"/>
              <w:jc w:val="center"/>
              <w:rPr>
                <w:rFonts w:hint="default"/>
                <w:vertAlign w:val="baseline"/>
                <w:lang w:val="en-US" w:eastAsia="zh-CN"/>
              </w:rPr>
            </w:pPr>
            <w:r>
              <w:rPr>
                <w:rFonts w:hint="eastAsia"/>
                <w:vertAlign w:val="baseline"/>
                <w:lang w:val="en-US" w:eastAsia="zh-CN"/>
              </w:rPr>
              <w:t>15</w:t>
            </w:r>
          </w:p>
        </w:tc>
        <w:tc>
          <w:tcPr>
            <w:tcW w:w="1125" w:type="dxa"/>
          </w:tcPr>
          <w:p w14:paraId="22D1AE54">
            <w:pPr>
              <w:pStyle w:val="2"/>
              <w:ind w:left="0" w:leftChars="0" w:firstLine="0" w:firstLineChars="0"/>
              <w:jc w:val="center"/>
              <w:rPr>
                <w:rFonts w:hint="default"/>
                <w:vertAlign w:val="baseline"/>
                <w:lang w:val="en-US" w:eastAsia="zh-CN"/>
              </w:rPr>
            </w:pPr>
            <w:r>
              <w:rPr>
                <w:rFonts w:hint="eastAsia"/>
                <w:vertAlign w:val="baseline"/>
                <w:lang w:val="en-US" w:eastAsia="zh-CN"/>
              </w:rPr>
              <w:t>68250</w:t>
            </w:r>
          </w:p>
        </w:tc>
        <w:tc>
          <w:tcPr>
            <w:tcW w:w="1125" w:type="dxa"/>
          </w:tcPr>
          <w:p w14:paraId="14DEEBD0">
            <w:pPr>
              <w:pStyle w:val="2"/>
              <w:ind w:left="0" w:leftChars="0" w:firstLine="0" w:firstLineChars="0"/>
              <w:jc w:val="center"/>
              <w:rPr>
                <w:rFonts w:hint="eastAsia"/>
                <w:vertAlign w:val="baseline"/>
                <w:lang w:val="en-US" w:eastAsia="zh-CN"/>
              </w:rPr>
            </w:pPr>
          </w:p>
        </w:tc>
      </w:tr>
      <w:tr w14:paraId="29DE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14:paraId="1F5D6D09">
            <w:pPr>
              <w:pStyle w:val="2"/>
              <w:ind w:left="0" w:leftChars="0" w:firstLine="0" w:firstLineChars="0"/>
              <w:jc w:val="center"/>
              <w:rPr>
                <w:rFonts w:hint="eastAsia"/>
                <w:vertAlign w:val="baseline"/>
                <w:lang w:val="en-US" w:eastAsia="zh-CN"/>
              </w:rPr>
            </w:pPr>
            <w:r>
              <w:rPr>
                <w:rFonts w:hint="eastAsia"/>
                <w:vertAlign w:val="baseline"/>
                <w:lang w:val="en-US" w:eastAsia="zh-CN"/>
              </w:rPr>
              <w:t>3</w:t>
            </w:r>
          </w:p>
        </w:tc>
        <w:tc>
          <w:tcPr>
            <w:tcW w:w="1175" w:type="dxa"/>
          </w:tcPr>
          <w:p w14:paraId="1F3536D5">
            <w:pPr>
              <w:pStyle w:val="2"/>
              <w:ind w:left="0" w:leftChars="0" w:firstLine="0" w:firstLineChars="0"/>
              <w:jc w:val="center"/>
              <w:rPr>
                <w:rFonts w:hint="eastAsia"/>
                <w:vertAlign w:val="baseline"/>
                <w:lang w:val="en-US" w:eastAsia="zh-CN"/>
              </w:rPr>
            </w:pPr>
            <w:r>
              <w:rPr>
                <w:rFonts w:hint="eastAsia"/>
                <w:vertAlign w:val="baseline"/>
                <w:lang w:val="en-US" w:eastAsia="zh-CN"/>
              </w:rPr>
              <w:t>键鼠有线套件</w:t>
            </w:r>
          </w:p>
        </w:tc>
        <w:tc>
          <w:tcPr>
            <w:tcW w:w="3538" w:type="dxa"/>
          </w:tcPr>
          <w:p w14:paraId="01192E64">
            <w:pPr>
              <w:pStyle w:val="2"/>
              <w:ind w:left="0" w:leftChars="0" w:firstLine="0" w:firstLineChars="0"/>
              <w:jc w:val="center"/>
              <w:rPr>
                <w:rFonts w:hint="eastAsia"/>
                <w:vertAlign w:val="baseline"/>
                <w:lang w:val="en-US" w:eastAsia="zh-CN"/>
              </w:rPr>
            </w:pPr>
          </w:p>
        </w:tc>
        <w:tc>
          <w:tcPr>
            <w:tcW w:w="1050" w:type="dxa"/>
          </w:tcPr>
          <w:p w14:paraId="6E256021">
            <w:pPr>
              <w:pStyle w:val="2"/>
              <w:ind w:left="0" w:leftChars="0" w:firstLine="0" w:firstLineChars="0"/>
              <w:jc w:val="center"/>
              <w:rPr>
                <w:rFonts w:hint="default"/>
                <w:vertAlign w:val="baseline"/>
                <w:lang w:val="en-US" w:eastAsia="zh-CN"/>
              </w:rPr>
            </w:pPr>
            <w:r>
              <w:rPr>
                <w:rFonts w:hint="eastAsia"/>
                <w:vertAlign w:val="baseline"/>
                <w:lang w:val="en-US" w:eastAsia="zh-CN"/>
              </w:rPr>
              <w:t>70</w:t>
            </w:r>
          </w:p>
        </w:tc>
        <w:tc>
          <w:tcPr>
            <w:tcW w:w="812" w:type="dxa"/>
          </w:tcPr>
          <w:p w14:paraId="3AEF5173">
            <w:pPr>
              <w:pStyle w:val="2"/>
              <w:ind w:left="0" w:leftChars="0" w:firstLine="0" w:firstLineChars="0"/>
              <w:jc w:val="center"/>
              <w:rPr>
                <w:rFonts w:hint="default"/>
                <w:vertAlign w:val="baseline"/>
                <w:lang w:val="en-US" w:eastAsia="zh-CN"/>
              </w:rPr>
            </w:pPr>
            <w:r>
              <w:rPr>
                <w:rFonts w:hint="eastAsia"/>
                <w:vertAlign w:val="baseline"/>
                <w:lang w:val="en-US" w:eastAsia="zh-CN"/>
              </w:rPr>
              <w:t>15</w:t>
            </w:r>
          </w:p>
        </w:tc>
        <w:tc>
          <w:tcPr>
            <w:tcW w:w="1125" w:type="dxa"/>
          </w:tcPr>
          <w:p w14:paraId="281DF04F">
            <w:pPr>
              <w:pStyle w:val="2"/>
              <w:ind w:left="0" w:leftChars="0" w:firstLine="0" w:firstLineChars="0"/>
              <w:jc w:val="center"/>
              <w:rPr>
                <w:rFonts w:hint="default"/>
                <w:vertAlign w:val="baseline"/>
                <w:lang w:val="en-US" w:eastAsia="zh-CN"/>
              </w:rPr>
            </w:pPr>
            <w:r>
              <w:rPr>
                <w:rFonts w:hint="eastAsia"/>
                <w:vertAlign w:val="baseline"/>
                <w:lang w:val="en-US" w:eastAsia="zh-CN"/>
              </w:rPr>
              <w:t>1050</w:t>
            </w:r>
          </w:p>
        </w:tc>
        <w:tc>
          <w:tcPr>
            <w:tcW w:w="1125" w:type="dxa"/>
          </w:tcPr>
          <w:p w14:paraId="0B263FC9">
            <w:pPr>
              <w:pStyle w:val="2"/>
              <w:ind w:left="0" w:leftChars="0" w:firstLine="0" w:firstLineChars="0"/>
              <w:jc w:val="center"/>
              <w:rPr>
                <w:rFonts w:hint="eastAsia"/>
                <w:vertAlign w:val="baseline"/>
                <w:lang w:val="en-US" w:eastAsia="zh-CN"/>
              </w:rPr>
            </w:pPr>
          </w:p>
        </w:tc>
      </w:tr>
      <w:tr w14:paraId="50EC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642208A2">
            <w:pPr>
              <w:pStyle w:val="2"/>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175" w:type="dxa"/>
          </w:tcPr>
          <w:p w14:paraId="34F1F32B">
            <w:pPr>
              <w:pStyle w:val="2"/>
              <w:ind w:left="0" w:leftChars="0" w:firstLine="0" w:firstLineChars="0"/>
              <w:jc w:val="center"/>
              <w:rPr>
                <w:rFonts w:hint="eastAsia"/>
                <w:vertAlign w:val="baseline"/>
                <w:lang w:val="en-US" w:eastAsia="zh-CN"/>
              </w:rPr>
            </w:pPr>
            <w:r>
              <w:rPr>
                <w:rFonts w:hint="eastAsia"/>
                <w:vertAlign w:val="baseline"/>
                <w:lang w:val="en-US" w:eastAsia="zh-CN"/>
              </w:rPr>
              <w:t xml:space="preserve">23.8英寸显示器 </w:t>
            </w:r>
          </w:p>
        </w:tc>
        <w:tc>
          <w:tcPr>
            <w:tcW w:w="3538" w:type="dxa"/>
          </w:tcPr>
          <w:p w14:paraId="54E26927">
            <w:pPr>
              <w:pStyle w:val="2"/>
              <w:ind w:left="0" w:leftChars="0" w:firstLine="0" w:firstLineChars="0"/>
              <w:jc w:val="center"/>
              <w:rPr>
                <w:rFonts w:hint="eastAsia"/>
                <w:vertAlign w:val="baseline"/>
                <w:lang w:val="en-US" w:eastAsia="zh-CN"/>
              </w:rPr>
            </w:pPr>
          </w:p>
        </w:tc>
        <w:tc>
          <w:tcPr>
            <w:tcW w:w="1050" w:type="dxa"/>
          </w:tcPr>
          <w:p w14:paraId="29520924">
            <w:pPr>
              <w:pStyle w:val="2"/>
              <w:ind w:left="0" w:leftChars="0" w:firstLine="0" w:firstLineChars="0"/>
              <w:jc w:val="center"/>
              <w:rPr>
                <w:rFonts w:hint="default"/>
                <w:vertAlign w:val="baseline"/>
                <w:lang w:val="en-US" w:eastAsia="zh-CN"/>
              </w:rPr>
            </w:pPr>
            <w:r>
              <w:rPr>
                <w:rFonts w:hint="eastAsia"/>
                <w:vertAlign w:val="baseline"/>
                <w:lang w:val="en-US" w:eastAsia="zh-CN"/>
              </w:rPr>
              <w:t>480</w:t>
            </w:r>
          </w:p>
        </w:tc>
        <w:tc>
          <w:tcPr>
            <w:tcW w:w="812" w:type="dxa"/>
          </w:tcPr>
          <w:p w14:paraId="5C14ED16">
            <w:pPr>
              <w:pStyle w:val="2"/>
              <w:ind w:left="0" w:leftChars="0" w:firstLine="0" w:firstLineChars="0"/>
              <w:jc w:val="center"/>
              <w:rPr>
                <w:rFonts w:hint="default"/>
                <w:vertAlign w:val="baseline"/>
                <w:lang w:val="en-US" w:eastAsia="zh-CN"/>
              </w:rPr>
            </w:pPr>
            <w:r>
              <w:rPr>
                <w:rFonts w:hint="eastAsia"/>
                <w:vertAlign w:val="baseline"/>
                <w:lang w:val="en-US" w:eastAsia="zh-CN"/>
              </w:rPr>
              <w:t>15</w:t>
            </w:r>
          </w:p>
        </w:tc>
        <w:tc>
          <w:tcPr>
            <w:tcW w:w="1125" w:type="dxa"/>
          </w:tcPr>
          <w:p w14:paraId="6F88652C">
            <w:pPr>
              <w:pStyle w:val="2"/>
              <w:ind w:left="0" w:leftChars="0" w:firstLine="0" w:firstLineChars="0"/>
              <w:jc w:val="center"/>
              <w:rPr>
                <w:rFonts w:hint="default"/>
                <w:vertAlign w:val="baseline"/>
                <w:lang w:val="en-US" w:eastAsia="zh-CN"/>
              </w:rPr>
            </w:pPr>
            <w:r>
              <w:rPr>
                <w:rFonts w:hint="eastAsia"/>
                <w:vertAlign w:val="baseline"/>
                <w:lang w:val="en-US" w:eastAsia="zh-CN"/>
              </w:rPr>
              <w:t>7200</w:t>
            </w:r>
          </w:p>
        </w:tc>
        <w:tc>
          <w:tcPr>
            <w:tcW w:w="1125" w:type="dxa"/>
          </w:tcPr>
          <w:p w14:paraId="2DEA1724">
            <w:pPr>
              <w:pStyle w:val="2"/>
              <w:ind w:left="0" w:leftChars="0" w:firstLine="0" w:firstLineChars="0"/>
              <w:jc w:val="center"/>
              <w:rPr>
                <w:rFonts w:hint="eastAsia"/>
                <w:vertAlign w:val="baseline"/>
                <w:lang w:val="en-US" w:eastAsia="zh-CN"/>
              </w:rPr>
            </w:pPr>
          </w:p>
        </w:tc>
      </w:tr>
      <w:tr w14:paraId="3470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86" w:type="dxa"/>
          </w:tcPr>
          <w:p w14:paraId="0EF39C31">
            <w:pPr>
              <w:pStyle w:val="2"/>
              <w:ind w:left="0" w:leftChars="0" w:firstLine="0" w:firstLineChars="0"/>
              <w:jc w:val="center"/>
              <w:rPr>
                <w:rFonts w:hint="eastAsia"/>
                <w:vertAlign w:val="baseline"/>
                <w:lang w:val="en-US" w:eastAsia="zh-CN"/>
              </w:rPr>
            </w:pPr>
            <w:r>
              <w:rPr>
                <w:rFonts w:hint="eastAsia"/>
                <w:vertAlign w:val="baseline"/>
                <w:lang w:val="en-US" w:eastAsia="zh-CN"/>
              </w:rPr>
              <w:t>5</w:t>
            </w:r>
          </w:p>
        </w:tc>
        <w:tc>
          <w:tcPr>
            <w:tcW w:w="1175" w:type="dxa"/>
          </w:tcPr>
          <w:p w14:paraId="3FDFA683">
            <w:pPr>
              <w:pStyle w:val="2"/>
              <w:ind w:left="0" w:leftChars="0" w:firstLine="0" w:firstLineChars="0"/>
              <w:jc w:val="center"/>
              <w:rPr>
                <w:rFonts w:hint="default"/>
                <w:vertAlign w:val="baseline"/>
                <w:lang w:val="en-US" w:eastAsia="zh-CN"/>
              </w:rPr>
            </w:pPr>
            <w:r>
              <w:rPr>
                <w:rFonts w:hint="eastAsia"/>
                <w:vertAlign w:val="baseline"/>
                <w:lang w:val="en-US" w:eastAsia="zh-CN"/>
              </w:rPr>
              <w:t>合计</w:t>
            </w:r>
          </w:p>
        </w:tc>
        <w:tc>
          <w:tcPr>
            <w:tcW w:w="3538" w:type="dxa"/>
          </w:tcPr>
          <w:p w14:paraId="61589827">
            <w:pPr>
              <w:pStyle w:val="2"/>
              <w:ind w:left="0" w:leftChars="0" w:firstLine="0" w:firstLineChars="0"/>
              <w:jc w:val="center"/>
              <w:rPr>
                <w:rFonts w:hint="eastAsia"/>
                <w:vertAlign w:val="baseline"/>
                <w:lang w:val="en-US" w:eastAsia="zh-CN"/>
              </w:rPr>
            </w:pPr>
          </w:p>
        </w:tc>
        <w:tc>
          <w:tcPr>
            <w:tcW w:w="1050" w:type="dxa"/>
          </w:tcPr>
          <w:p w14:paraId="22AEC12E">
            <w:pPr>
              <w:pStyle w:val="2"/>
              <w:ind w:left="0" w:leftChars="0" w:firstLine="0" w:firstLineChars="0"/>
              <w:jc w:val="center"/>
              <w:rPr>
                <w:rFonts w:hint="eastAsia"/>
                <w:vertAlign w:val="baseline"/>
                <w:lang w:val="en-US" w:eastAsia="zh-CN"/>
              </w:rPr>
            </w:pPr>
          </w:p>
        </w:tc>
        <w:tc>
          <w:tcPr>
            <w:tcW w:w="812" w:type="dxa"/>
          </w:tcPr>
          <w:p w14:paraId="79E3AD7F">
            <w:pPr>
              <w:pStyle w:val="2"/>
              <w:ind w:left="0" w:leftChars="0" w:firstLine="0" w:firstLineChars="0"/>
              <w:jc w:val="center"/>
              <w:rPr>
                <w:rFonts w:hint="eastAsia"/>
                <w:vertAlign w:val="baseline"/>
                <w:lang w:val="en-US" w:eastAsia="zh-CN"/>
              </w:rPr>
            </w:pPr>
          </w:p>
        </w:tc>
        <w:tc>
          <w:tcPr>
            <w:tcW w:w="1125" w:type="dxa"/>
          </w:tcPr>
          <w:p w14:paraId="61219B88">
            <w:pPr>
              <w:pStyle w:val="2"/>
              <w:ind w:left="0" w:leftChars="0" w:firstLine="0" w:firstLineChars="0"/>
              <w:jc w:val="center"/>
              <w:rPr>
                <w:rFonts w:hint="default"/>
                <w:vertAlign w:val="baseline"/>
                <w:lang w:val="en-US" w:eastAsia="zh-CN"/>
              </w:rPr>
            </w:pPr>
            <w:r>
              <w:rPr>
                <w:rFonts w:hint="eastAsia"/>
                <w:vertAlign w:val="baseline"/>
                <w:lang w:val="en-US" w:eastAsia="zh-CN"/>
              </w:rPr>
              <w:t>83950</w:t>
            </w:r>
          </w:p>
        </w:tc>
        <w:tc>
          <w:tcPr>
            <w:tcW w:w="1125" w:type="dxa"/>
          </w:tcPr>
          <w:p w14:paraId="2B70193A">
            <w:pPr>
              <w:pStyle w:val="2"/>
              <w:ind w:left="0" w:leftChars="0" w:firstLine="0" w:firstLineChars="0"/>
              <w:jc w:val="center"/>
              <w:rPr>
                <w:rFonts w:hint="eastAsia"/>
                <w:vertAlign w:val="baseline"/>
                <w:lang w:val="en-US" w:eastAsia="zh-CN"/>
              </w:rPr>
            </w:pPr>
          </w:p>
        </w:tc>
      </w:tr>
    </w:tbl>
    <w:p w14:paraId="6A02D8AD">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BC7B"/>
    <w:multiLevelType w:val="singleLevel"/>
    <w:tmpl w:val="DDFFBC7B"/>
    <w:lvl w:ilvl="0" w:tentative="0">
      <w:start w:val="1"/>
      <w:numFmt w:val="decimal"/>
      <w:suff w:val="nothing"/>
      <w:lvlText w:val="%1、"/>
      <w:lvlJc w:val="left"/>
    </w:lvl>
  </w:abstractNum>
  <w:abstractNum w:abstractNumId="1">
    <w:nsid w:val="FBEF4324"/>
    <w:multiLevelType w:val="singleLevel"/>
    <w:tmpl w:val="FBEF4324"/>
    <w:lvl w:ilvl="0" w:tentative="0">
      <w:start w:val="1"/>
      <w:numFmt w:val="chineseCounting"/>
      <w:suff w:val="nothing"/>
      <w:lvlText w:val="%1、"/>
      <w:lvlJc w:val="left"/>
      <w:rPr>
        <w:rFonts w:hint="eastAsia"/>
      </w:rPr>
    </w:lvl>
  </w:abstractNum>
  <w:abstractNum w:abstractNumId="2">
    <w:nsid w:val="31EEF586"/>
    <w:multiLevelType w:val="singleLevel"/>
    <w:tmpl w:val="31EEF58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F3EC0"/>
    <w:rsid w:val="2E3F3EC0"/>
    <w:rsid w:val="5E261E42"/>
    <w:rsid w:val="5E7C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tabs>
        <w:tab w:val="left" w:pos="1021"/>
      </w:tabs>
      <w:adjustRightInd w:val="0"/>
      <w:spacing w:before="120" w:line="360" w:lineRule="auto"/>
      <w:ind w:left="1021" w:hanging="596"/>
      <w:textAlignment w:val="baseline"/>
      <w:outlineLvl w:val="1"/>
    </w:pPr>
    <w:rPr>
      <w:rFonts w:eastAsia="楷体"/>
      <w:b/>
      <w:kern w:val="0"/>
      <w:szCs w:val="20"/>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next w:val="4"/>
    <w:qFormat/>
    <w:uiPriority w:val="99"/>
    <w:rPr>
      <w:rFonts w:ascii="宋体"/>
      <w:szCs w:val="20"/>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2696</Words>
  <Characters>3144</Characters>
  <Lines>0</Lines>
  <Paragraphs>0</Paragraphs>
  <TotalTime>10</TotalTime>
  <ScaleCrop>false</ScaleCrop>
  <LinksUpToDate>false</LinksUpToDate>
  <CharactersWithSpaces>3181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2024-12-17T08:03:00Z</dcterms:created>
  <dc:creator>好久不见</dc:creator>
  <cp:lastModifiedBy>.</cp:lastModifiedBy>
  <dcterms:modified xsi:type="dcterms:W3CDTF">2024-12-18T09:11:13Z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D3AEA8CB98AD418C9B802316FAAB1F70_11</vt:lpwstr>
  </property>
</Properties>
</file>