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6"/>
      </w:tblGrid>
      <w:tr w14:paraId="4A798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76" w:type="dxa"/>
            <w:vAlign w:val="center"/>
          </w:tcPr>
          <w:p w14:paraId="5CE9EB55">
            <w:pPr>
              <w:pStyle w:val="5"/>
              <w:jc w:val="center"/>
              <w:rPr>
                <w:sz w:val="24"/>
                <w:szCs w:val="24"/>
                <w:highlight w:val="none"/>
              </w:rPr>
            </w:pPr>
            <w:r>
              <w:rPr>
                <w:b/>
                <w:bCs/>
                <w:sz w:val="28"/>
                <w:szCs w:val="28"/>
                <w:highlight w:val="none"/>
              </w:rPr>
              <w:t>技术参数与性能指标</w:t>
            </w:r>
          </w:p>
        </w:tc>
      </w:tr>
      <w:tr w14:paraId="1392B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176" w:type="dxa"/>
            <w:vAlign w:val="center"/>
          </w:tcPr>
          <w:p w14:paraId="13EB5CB7">
            <w:pPr>
              <w:numPr>
                <w:ilvl w:val="0"/>
                <w:numId w:val="0"/>
              </w:numPr>
              <w:pBdr>
                <w:bottom w:val="single" w:color="auto" w:sz="4" w:space="1"/>
              </w:pBdr>
              <w:spacing w:beforeLines="100" w:line="360" w:lineRule="auto"/>
              <w:ind w:left="420" w:leftChars="0" w:hanging="420" w:firstLineChars="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kern w:val="2"/>
                <w:sz w:val="24"/>
                <w:szCs w:val="24"/>
                <w:highlight w:val="none"/>
                <w:lang w:val="en-US" w:eastAsia="zh-CN" w:bidi="ar-SA"/>
              </w:rPr>
              <w:t>一、</w:t>
            </w:r>
            <w:r>
              <w:rPr>
                <w:rFonts w:ascii="仿宋" w:hAnsi="仿宋" w:eastAsia="仿宋"/>
                <w:b/>
                <w:color w:val="auto"/>
                <w:sz w:val="24"/>
                <w:szCs w:val="24"/>
                <w:highlight w:val="none"/>
              </w:rPr>
              <w:t>项目</w:t>
            </w:r>
            <w:r>
              <w:rPr>
                <w:rFonts w:hint="eastAsia" w:ascii="仿宋" w:hAnsi="仿宋" w:eastAsia="仿宋"/>
                <w:b/>
                <w:color w:val="auto"/>
                <w:sz w:val="24"/>
                <w:szCs w:val="24"/>
                <w:highlight w:val="none"/>
              </w:rPr>
              <w:t>概况</w:t>
            </w:r>
          </w:p>
          <w:p w14:paraId="75F4A9F4">
            <w:pPr>
              <w:spacing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为医院提供</w:t>
            </w:r>
            <w:r>
              <w:rPr>
                <w:rFonts w:hint="eastAsia" w:asciiTheme="minorEastAsia" w:hAnsiTheme="minorEastAsia" w:eastAsiaTheme="minorEastAsia" w:cstheme="minorEastAsia"/>
                <w:color w:val="auto"/>
                <w:sz w:val="24"/>
                <w:szCs w:val="24"/>
                <w:highlight w:val="none"/>
                <w:lang w:val="en-US" w:eastAsia="zh-CN"/>
              </w:rPr>
              <w:t>2条</w:t>
            </w:r>
            <w:r>
              <w:rPr>
                <w:rFonts w:hint="eastAsia" w:asciiTheme="minorEastAsia" w:hAnsiTheme="minorEastAsia" w:eastAsiaTheme="minorEastAsia" w:cstheme="minorEastAsia"/>
                <w:color w:val="auto"/>
                <w:sz w:val="24"/>
                <w:szCs w:val="24"/>
                <w:highlight w:val="none"/>
              </w:rPr>
              <w:t>专线带宽</w:t>
            </w:r>
            <w:r>
              <w:rPr>
                <w:rFonts w:hint="eastAsia" w:asciiTheme="minorEastAsia" w:hAnsiTheme="minorEastAsia" w:eastAsiaTheme="minorEastAsia" w:cstheme="minorEastAsia"/>
                <w:color w:val="auto"/>
                <w:sz w:val="24"/>
                <w:szCs w:val="24"/>
                <w:highlight w:val="none"/>
                <w:lang w:eastAsia="zh-CN"/>
              </w:rPr>
              <w:t>，速率</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100</w:t>
            </w:r>
            <w:r>
              <w:rPr>
                <w:rFonts w:hint="eastAsia" w:asciiTheme="minorEastAsia" w:hAnsiTheme="minorEastAsia" w:eastAsiaTheme="minorEastAsia" w:cstheme="minorEastAsia"/>
                <w:color w:val="auto"/>
                <w:sz w:val="24"/>
                <w:szCs w:val="24"/>
                <w:highlight w:val="none"/>
              </w:rPr>
              <w:t>Mbps，</w:t>
            </w:r>
            <w:r>
              <w:rPr>
                <w:rFonts w:hint="eastAsia" w:asciiTheme="minorEastAsia" w:hAnsiTheme="minorEastAsia" w:eastAsiaTheme="minorEastAsia" w:cstheme="minorEastAsia"/>
                <w:color w:val="auto"/>
                <w:sz w:val="24"/>
                <w:szCs w:val="24"/>
                <w:highlight w:val="none"/>
                <w:lang w:val="en-US" w:eastAsia="zh-CN"/>
              </w:rPr>
              <w:t>2个静态IP地址，</w:t>
            </w:r>
            <w:r>
              <w:rPr>
                <w:rFonts w:hint="eastAsia" w:asciiTheme="minorEastAsia" w:hAnsiTheme="minorEastAsia" w:eastAsiaTheme="minorEastAsia" w:cstheme="minorEastAsia"/>
                <w:color w:val="auto"/>
                <w:sz w:val="24"/>
                <w:szCs w:val="24"/>
                <w:highlight w:val="none"/>
              </w:rPr>
              <w:t>以满足医院日常办公业务要求。</w:t>
            </w:r>
          </w:p>
          <w:p w14:paraId="1F335AF7">
            <w:pPr>
              <w:spacing w:line="360" w:lineRule="auto"/>
              <w:jc w:val="both"/>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b/>
                <w:color w:val="auto"/>
                <w:sz w:val="24"/>
                <w:szCs w:val="24"/>
                <w:highlight w:val="none"/>
              </w:rPr>
              <w:t>二、服务内容</w:t>
            </w:r>
          </w:p>
          <w:tbl>
            <w:tblPr>
              <w:tblStyle w:val="3"/>
              <w:tblW w:w="7960" w:type="dxa"/>
              <w:tblInd w:w="113" w:type="dxa"/>
              <w:tblLayout w:type="autofit"/>
              <w:tblCellMar>
                <w:top w:w="0" w:type="dxa"/>
                <w:left w:w="108" w:type="dxa"/>
                <w:bottom w:w="0" w:type="dxa"/>
                <w:right w:w="108" w:type="dxa"/>
              </w:tblCellMar>
            </w:tblPr>
            <w:tblGrid>
              <w:gridCol w:w="1775"/>
              <w:gridCol w:w="6185"/>
            </w:tblGrid>
            <w:tr w14:paraId="15B01CD3">
              <w:tblPrEx>
                <w:tblCellMar>
                  <w:top w:w="0" w:type="dxa"/>
                  <w:left w:w="108" w:type="dxa"/>
                  <w:bottom w:w="0" w:type="dxa"/>
                  <w:right w:w="108" w:type="dxa"/>
                </w:tblCellMar>
              </w:tblPrEx>
              <w:trPr>
                <w:trHeight w:val="1680" w:hRule="atLeast"/>
              </w:trPr>
              <w:tc>
                <w:tcPr>
                  <w:tcW w:w="1775" w:type="dxa"/>
                  <w:tcBorders>
                    <w:top w:val="single" w:color="auto" w:sz="4" w:space="0"/>
                    <w:left w:val="single" w:color="auto" w:sz="4" w:space="0"/>
                    <w:bottom w:val="single" w:color="auto" w:sz="4" w:space="0"/>
                    <w:right w:val="single" w:color="auto" w:sz="4" w:space="0"/>
                  </w:tcBorders>
                  <w:shd w:val="clear" w:color="000000" w:fill="FFFFFF"/>
                  <w:vAlign w:val="center"/>
                </w:tcPr>
                <w:p w14:paraId="15EE8288">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网络传输技术</w:t>
                  </w:r>
                </w:p>
              </w:tc>
              <w:tc>
                <w:tcPr>
                  <w:tcW w:w="6185" w:type="dxa"/>
                  <w:tcBorders>
                    <w:top w:val="single" w:color="auto" w:sz="4" w:space="0"/>
                    <w:left w:val="nil"/>
                    <w:bottom w:val="single" w:color="auto" w:sz="4" w:space="0"/>
                    <w:right w:val="single" w:color="auto" w:sz="4" w:space="0"/>
                  </w:tcBorders>
                  <w:shd w:val="clear" w:color="000000" w:fill="FFFFFF"/>
                  <w:vAlign w:val="center"/>
                </w:tcPr>
                <w:p w14:paraId="444B2C8B">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(1)网络支持流量统计复用，承载效率较高，能满足大带宽业务的承载需求；</w:t>
                  </w:r>
                </w:p>
                <w:p w14:paraId="579406DF">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(2)能提供端到端的 QoS 策略服务，保障关键业务的服务质量，并可提供差异化服务；</w:t>
                  </w:r>
                </w:p>
                <w:p w14:paraId="66396289">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(3)能满足点到点、点到多点的灵活组网互访需求，具备良好的扩展性；</w:t>
                  </w:r>
                </w:p>
                <w:p w14:paraId="33E3E0AA">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(4)所有点位的数据专线全部采用光缆接入,光缆的各项技术特性应符合相应的国家标准、行业标准。</w:t>
                  </w:r>
                </w:p>
                <w:p w14:paraId="58193094">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(5)光缆中使用的光纤应符合ITU-T G.652D类单模光纤的参数要求。</w:t>
                  </w:r>
                </w:p>
                <w:p w14:paraId="0CECC472">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(6)所有点位采用数据专线接入。</w:t>
                  </w:r>
                </w:p>
              </w:tc>
            </w:tr>
            <w:tr w14:paraId="7160D67E">
              <w:tblPrEx>
                <w:tblCellMar>
                  <w:top w:w="0" w:type="dxa"/>
                  <w:left w:w="108" w:type="dxa"/>
                  <w:bottom w:w="0" w:type="dxa"/>
                  <w:right w:w="108" w:type="dxa"/>
                </w:tblCellMar>
              </w:tblPrEx>
              <w:trPr>
                <w:trHeight w:val="285" w:hRule="atLeast"/>
              </w:trPr>
              <w:tc>
                <w:tcPr>
                  <w:tcW w:w="1775" w:type="dxa"/>
                  <w:tcBorders>
                    <w:top w:val="nil"/>
                    <w:left w:val="single" w:color="auto" w:sz="4" w:space="0"/>
                    <w:bottom w:val="single" w:color="auto" w:sz="4" w:space="0"/>
                    <w:right w:val="single" w:color="auto" w:sz="4" w:space="0"/>
                  </w:tcBorders>
                  <w:shd w:val="clear" w:color="000000" w:fill="FFFFFF"/>
                  <w:vAlign w:val="center"/>
                </w:tcPr>
                <w:p w14:paraId="5A07703D">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指标参数</w:t>
                  </w:r>
                </w:p>
              </w:tc>
              <w:tc>
                <w:tcPr>
                  <w:tcW w:w="6185" w:type="dxa"/>
                  <w:tcBorders>
                    <w:top w:val="nil"/>
                    <w:left w:val="nil"/>
                    <w:bottom w:val="single" w:color="auto" w:sz="4" w:space="0"/>
                    <w:right w:val="single" w:color="auto" w:sz="4" w:space="0"/>
                  </w:tcBorders>
                  <w:shd w:val="clear" w:color="000000" w:fill="FFFFFF"/>
                  <w:vAlign w:val="center"/>
                </w:tcPr>
                <w:p w14:paraId="572BB257">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网络性能指标符合YD/T1171-2001规定的1级或1级以上的服务质量等级：</w:t>
                  </w:r>
                </w:p>
                <w:p w14:paraId="67DD22FC">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（1）误码率≤1e-9；</w:t>
                  </w:r>
                </w:p>
                <w:p w14:paraId="15F84B04">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（2）时延：跨省、跨市时延：0.8ms/百公里（单向时延）；本地网内≤10ms；</w:t>
                  </w:r>
                </w:p>
                <w:p w14:paraId="44259D78">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（3）丢包率：在正常带宽负荷下（负荷小于70％）≤0.1%。</w:t>
                  </w:r>
                </w:p>
              </w:tc>
            </w:tr>
            <w:tr w14:paraId="4FD0E853">
              <w:tblPrEx>
                <w:tblCellMar>
                  <w:top w:w="0" w:type="dxa"/>
                  <w:left w:w="108" w:type="dxa"/>
                  <w:bottom w:w="0" w:type="dxa"/>
                  <w:right w:w="108" w:type="dxa"/>
                </w:tblCellMar>
              </w:tblPrEx>
              <w:trPr>
                <w:trHeight w:val="1424" w:hRule="atLeast"/>
              </w:trPr>
              <w:tc>
                <w:tcPr>
                  <w:tcW w:w="1775" w:type="dxa"/>
                  <w:tcBorders>
                    <w:top w:val="nil"/>
                    <w:left w:val="single" w:color="auto" w:sz="4" w:space="0"/>
                    <w:right w:val="single" w:color="auto" w:sz="4" w:space="0"/>
                  </w:tcBorders>
                  <w:shd w:val="clear" w:color="000000" w:fill="FFFFFF"/>
                  <w:vAlign w:val="center"/>
                </w:tcPr>
                <w:p w14:paraId="44EBB20D">
                  <w:pPr>
                    <w:widowControl/>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链路冗余要求</w:t>
                  </w:r>
                </w:p>
              </w:tc>
              <w:tc>
                <w:tcPr>
                  <w:tcW w:w="6185" w:type="dxa"/>
                  <w:tcBorders>
                    <w:top w:val="nil"/>
                    <w:left w:val="nil"/>
                    <w:bottom w:val="single" w:color="auto" w:sz="4" w:space="0"/>
                    <w:right w:val="single" w:color="auto" w:sz="4" w:space="0"/>
                  </w:tcBorders>
                  <w:shd w:val="clear" w:color="000000" w:fill="FFFFFF"/>
                  <w:vAlign w:val="center"/>
                </w:tcPr>
                <w:p w14:paraId="7432AC4D">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1）互联网专线具备双链路冗余保障，双链路有运营商不同基站提供。</w:t>
                  </w:r>
                </w:p>
                <w:p w14:paraId="154C7C76">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2）用户至网内热点网站的Ping网络时延≤50ms；</w:t>
                  </w:r>
                </w:p>
                <w:p w14:paraId="79913028">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3）用户至网内热点网站的网络丢包率，在正常带宽负荷下（负荷小于70％）≤1%。</w:t>
                  </w:r>
                </w:p>
                <w:p w14:paraId="34459819">
                  <w:pPr>
                    <w:widowControl/>
                    <w:spacing w:line="360" w:lineRule="auto"/>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eastAsia="zh-CN"/>
                    </w:rPr>
                    <w:t>可</w:t>
                  </w:r>
                  <w:r>
                    <w:rPr>
                      <w:rFonts w:hint="eastAsia" w:asciiTheme="minorEastAsia" w:hAnsiTheme="minorEastAsia" w:eastAsiaTheme="minorEastAsia" w:cstheme="minorEastAsia"/>
                      <w:color w:val="auto"/>
                      <w:kern w:val="0"/>
                      <w:sz w:val="24"/>
                      <w:szCs w:val="24"/>
                      <w:highlight w:val="none"/>
                    </w:rPr>
                    <w:t>协助</w:t>
                  </w:r>
                  <w:r>
                    <w:rPr>
                      <w:rFonts w:hint="eastAsia" w:asciiTheme="minorEastAsia" w:hAnsiTheme="minorEastAsia" w:eastAsiaTheme="minorEastAsia" w:cstheme="minorEastAsia"/>
                      <w:color w:val="auto"/>
                      <w:kern w:val="0"/>
                      <w:sz w:val="24"/>
                      <w:szCs w:val="24"/>
                      <w:highlight w:val="none"/>
                      <w:lang w:eastAsia="zh-CN"/>
                    </w:rPr>
                    <w:t>用户</w:t>
                  </w:r>
                  <w:r>
                    <w:rPr>
                      <w:rFonts w:hint="eastAsia" w:asciiTheme="minorEastAsia" w:hAnsiTheme="minorEastAsia" w:eastAsiaTheme="minorEastAsia" w:cstheme="minorEastAsia"/>
                      <w:color w:val="auto"/>
                      <w:kern w:val="0"/>
                      <w:sz w:val="24"/>
                      <w:szCs w:val="24"/>
                      <w:highlight w:val="none"/>
                    </w:rPr>
                    <w:t>完成网站的ICP备案、静态IP地址的备案。</w:t>
                  </w:r>
                </w:p>
                <w:p w14:paraId="0EA96EED">
                  <w:pPr>
                    <w:widowControl/>
                    <w:spacing w:line="360" w:lineRule="auto"/>
                    <w:jc w:val="both"/>
                    <w:rPr>
                      <w:rFonts w:hint="eastAsia" w:asciiTheme="minorEastAsia" w:hAnsiTheme="minorEastAsia" w:eastAsiaTheme="minorEastAsia" w:cstheme="minorEastAsia"/>
                      <w:color w:val="auto"/>
                      <w:kern w:val="0"/>
                      <w:sz w:val="24"/>
                      <w:szCs w:val="24"/>
                      <w:highlight w:val="none"/>
                    </w:rPr>
                  </w:pPr>
                </w:p>
              </w:tc>
            </w:tr>
          </w:tbl>
          <w:p w14:paraId="16678057">
            <w:pPr>
              <w:pBdr>
                <w:bottom w:val="single" w:color="auto" w:sz="4" w:space="1"/>
              </w:pBdr>
              <w:spacing w:beforeLines="100" w:line="360" w:lineRule="auto"/>
              <w:ind w:left="420" w:hanging="420"/>
              <w:jc w:val="both"/>
              <w:rPr>
                <w:rFonts w:hint="eastAsia" w:asciiTheme="minorEastAsia" w:hAnsiTheme="minorEastAsia" w:eastAsiaTheme="minorEastAsia" w:cstheme="minorEastAsia"/>
                <w:color w:val="auto"/>
                <w:kern w:val="0"/>
                <w:sz w:val="24"/>
                <w:szCs w:val="24"/>
                <w:highlight w:val="none"/>
                <w:lang w:val="zh-CN" w:eastAsia="zh-CN" w:bidi="ar-SA"/>
              </w:rPr>
            </w:pPr>
            <w:r>
              <w:rPr>
                <w:rFonts w:hint="eastAsia" w:asciiTheme="minorEastAsia" w:hAnsiTheme="minorEastAsia" w:eastAsiaTheme="minorEastAsia" w:cstheme="minorEastAsia"/>
                <w:b/>
                <w:color w:val="auto"/>
                <w:sz w:val="24"/>
                <w:szCs w:val="24"/>
                <w:highlight w:val="none"/>
                <w:lang w:val="en-US" w:eastAsia="zh-CN"/>
              </w:rPr>
              <w:t>三</w:t>
            </w:r>
            <w:r>
              <w:rPr>
                <w:rFonts w:hint="eastAsia" w:asciiTheme="minorEastAsia" w:hAnsiTheme="minorEastAsia" w:eastAsiaTheme="minorEastAsia" w:cstheme="minorEastAsia"/>
                <w:b/>
                <w:color w:val="auto"/>
                <w:sz w:val="24"/>
                <w:szCs w:val="24"/>
                <w:highlight w:val="none"/>
              </w:rPr>
              <w:t>、服务要求</w:t>
            </w:r>
          </w:p>
          <w:p w14:paraId="6E6FC0FE">
            <w:pPr>
              <w:pStyle w:val="5"/>
              <w:spacing w:line="360" w:lineRule="auto"/>
              <w:jc w:val="both"/>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1）响应时间承诺提供7×24小时的监控和维护服务，接到用户的请求后，相关技术服务人员通常在15分钟内响应，并承诺其响应时间≤30分钟。发现故障或接到用户的故障申报后，从接到用户申报起30分钟内反馈故障定位、处理进展，并每隔1小时向客户沟通、反馈故障处理进展。</w:t>
            </w:r>
          </w:p>
          <w:p w14:paraId="3E8B32A1">
            <w:pPr>
              <w:pStyle w:val="5"/>
              <w:spacing w:line="360" w:lineRule="auto"/>
              <w:jc w:val="both"/>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2）到达现场时间承诺故障原因不明确或故障原因定位在用户侧时，需至用户侧现场判断处理，在服务期内接到用户报修电话，技术服务人员在1小时内赶到使用现场实施维修，4小时内修复故障，2天内提供书面故障检修报告。</w:t>
            </w:r>
          </w:p>
          <w:p w14:paraId="5FBFC9F2">
            <w:pPr>
              <w:pStyle w:val="5"/>
              <w:spacing w:line="360" w:lineRule="auto"/>
              <w:jc w:val="both"/>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解决问题时间承诺如果故障在检修4小时后仍无法修复，在24小时内提供备用链路，并负责使用该链路网络设备（含终端）的配置更改。厂家技术支撑承诺若遇到技术疑难需厂家现场支撑，到达现场时间：＜48小时；</w:t>
            </w:r>
          </w:p>
          <w:p w14:paraId="3F5F30ED">
            <w:pPr>
              <w:pStyle w:val="5"/>
              <w:spacing w:line="360" w:lineRule="auto"/>
              <w:jc w:val="both"/>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日常巡视巡检承诺每月提供数据链路月度运行报告，每季度进行一次巡检数据链路使用现场，并在完成巡检2天内提供书面巡检报告，每季度进行一次巡检数据链路使用现场，并在完成巡检2天内提供书面巡检报告。</w:t>
            </w:r>
          </w:p>
          <w:p w14:paraId="269BD03E">
            <w:pPr>
              <w:pStyle w:val="5"/>
              <w:spacing w:line="360" w:lineRule="auto"/>
              <w:jc w:val="both"/>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5）用户支撑承诺如用户侧内部网络实施软硬件配置变更或业务割接，技术服务人员按要求时间点到达现场予以支持，应急保障承诺提供书面应急预案并进行演练，在两会等敏感时期和重大节假日期间提供7×24小时应急值守服务。</w:t>
            </w:r>
          </w:p>
          <w:p w14:paraId="455A3962">
            <w:pPr>
              <w:pStyle w:val="5"/>
              <w:spacing w:line="360" w:lineRule="auto"/>
              <w:jc w:val="both"/>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（6）业务割接通知承诺如城建改造或网络优化调整需进行有与用户数据链路相关的光缆割接、迁改，提前3天将光缆割接时间、中断时间及应急保障措施等以书面形式通知用户，取得用户认可后方实施。</w:t>
            </w:r>
          </w:p>
          <w:p w14:paraId="49CA0417">
            <w:pPr>
              <w:pStyle w:val="5"/>
              <w:spacing w:line="360" w:lineRule="auto"/>
              <w:jc w:val="both"/>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（7）故障件维修服务承诺星期一至星期日8：30－18：00 返修周期：25个工作日；寄修期间为保障用户网络正常，统一调配备用板件使用，承诺调配到位时间为48小时内。针对本项目提供7*24小时的电话技术支持服务。配置专门负责的技术工程师和客户经理，一点接应后续的日常维护和服务响应工作。</w:t>
            </w:r>
          </w:p>
          <w:p w14:paraId="27E0B5B8">
            <w:pPr>
              <w:pStyle w:val="5"/>
              <w:spacing w:line="360" w:lineRule="auto"/>
              <w:jc w:val="both"/>
              <w:rPr>
                <w:rFonts w:ascii="仿宋" w:hAnsi="仿宋" w:eastAsia="仿宋"/>
                <w:b/>
                <w:color w:val="auto"/>
                <w:sz w:val="28"/>
                <w:szCs w:val="28"/>
                <w:highlight w:val="none"/>
              </w:rPr>
            </w:pPr>
            <w:r>
              <w:rPr>
                <w:rFonts w:hint="eastAsia" w:ascii="仿宋" w:hAnsi="仿宋" w:eastAsia="仿宋"/>
                <w:b/>
                <w:color w:val="auto"/>
                <w:sz w:val="28"/>
                <w:szCs w:val="28"/>
                <w:highlight w:val="none"/>
                <w:lang w:eastAsia="zh-CN"/>
              </w:rPr>
              <w:t>四、</w:t>
            </w:r>
            <w:r>
              <w:rPr>
                <w:rFonts w:hint="eastAsia" w:ascii="仿宋" w:hAnsi="仿宋" w:eastAsia="仿宋"/>
                <w:b/>
                <w:color w:val="auto"/>
                <w:sz w:val="28"/>
                <w:szCs w:val="28"/>
                <w:highlight w:val="none"/>
              </w:rPr>
              <w:t>商务要求</w:t>
            </w:r>
          </w:p>
          <w:p w14:paraId="58F6B1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一、服务期限：自合同签订之日起三年。</w:t>
            </w:r>
          </w:p>
          <w:p w14:paraId="516D50BE">
            <w:pPr>
              <w:spacing w:line="360" w:lineRule="auto"/>
              <w:jc w:val="both"/>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val="zh-CN"/>
              </w:rPr>
              <w:t>验收要求：</w:t>
            </w:r>
            <w:r>
              <w:rPr>
                <w:rFonts w:hint="eastAsia" w:asciiTheme="minorEastAsia" w:hAnsiTheme="minorEastAsia" w:eastAsiaTheme="minorEastAsia" w:cstheme="minorEastAsia"/>
                <w:color w:val="auto"/>
                <w:sz w:val="24"/>
                <w:szCs w:val="24"/>
                <w:highlight w:val="none"/>
                <w:lang w:val="en-US" w:eastAsia="zh-CN"/>
              </w:rPr>
              <w:t>1、提供2条专线带宽</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en-US" w:eastAsia="zh-CN"/>
              </w:rPr>
              <w:t>100</w:t>
            </w:r>
            <w:r>
              <w:rPr>
                <w:rFonts w:hint="eastAsia" w:asciiTheme="minorEastAsia" w:hAnsiTheme="minorEastAsia" w:eastAsiaTheme="minorEastAsia" w:cstheme="minorEastAsia"/>
                <w:color w:val="auto"/>
                <w:sz w:val="24"/>
                <w:szCs w:val="24"/>
                <w:highlight w:val="none"/>
                <w:lang w:val="zh-CN"/>
              </w:rPr>
              <w:t>Mbps；</w:t>
            </w:r>
            <w:r>
              <w:rPr>
                <w:rFonts w:hint="eastAsia" w:asciiTheme="minorEastAsia" w:hAnsiTheme="minorEastAsia" w:eastAsiaTheme="minorEastAsia" w:cstheme="minorEastAsia"/>
                <w:color w:val="auto"/>
                <w:sz w:val="24"/>
                <w:szCs w:val="24"/>
                <w:highlight w:val="none"/>
                <w:lang w:val="en-US" w:eastAsia="zh-CN"/>
              </w:rPr>
              <w:t>2个静态IP地址。2、</w:t>
            </w:r>
            <w:r>
              <w:rPr>
                <w:rFonts w:hint="eastAsia" w:asciiTheme="minorEastAsia" w:hAnsiTheme="minorEastAsia" w:eastAsiaTheme="minorEastAsia" w:cstheme="minorEastAsia"/>
                <w:color w:val="auto"/>
                <w:sz w:val="24"/>
                <w:szCs w:val="24"/>
                <w:highlight w:val="none"/>
              </w:rPr>
              <w:t>互联网出口第三方软件实测速率≥接口理论速率</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90%;上行速率≥下行速率</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99%</w:t>
            </w:r>
            <w:r>
              <w:rPr>
                <w:rFonts w:hint="eastAsia" w:asciiTheme="minorEastAsia" w:hAnsiTheme="minorEastAsia" w:eastAsiaTheme="minorEastAsia" w:cstheme="minorEastAsia"/>
                <w:color w:val="auto"/>
                <w:sz w:val="24"/>
                <w:szCs w:val="24"/>
                <w:highlight w:val="none"/>
                <w:lang w:eastAsia="zh-CN"/>
              </w:rPr>
              <w:t>。</w:t>
            </w:r>
          </w:p>
        </w:tc>
      </w:tr>
      <w:tr w14:paraId="0DB1E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176" w:type="dxa"/>
            <w:vAlign w:val="center"/>
          </w:tcPr>
          <w:p w14:paraId="18292D59">
            <w:pPr>
              <w:spacing w:line="360" w:lineRule="auto"/>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服务报价（总价）：</w:t>
            </w:r>
          </w:p>
        </w:tc>
      </w:tr>
    </w:tbl>
    <w:p w14:paraId="6DD8A644">
      <w:bookmarkStart w:id="0" w:name="_GoBack"/>
      <w:bookmarkEnd w:id="0"/>
    </w:p>
    <w:sectPr>
      <w:pgSz w:w="11906" w:h="16838"/>
      <w:pgMar w:top="87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YTJmMTNkYWQ5NTk0M2RkMzk0NTI3NWVjMTkyZjkifQ=="/>
  </w:docVars>
  <w:rsids>
    <w:rsidRoot w:val="7F5D14A7"/>
    <w:rsid w:val="04462207"/>
    <w:rsid w:val="06F03498"/>
    <w:rsid w:val="0E141A4A"/>
    <w:rsid w:val="160342C9"/>
    <w:rsid w:val="224B4A85"/>
    <w:rsid w:val="233B2650"/>
    <w:rsid w:val="50FC454C"/>
    <w:rsid w:val="545A24A8"/>
    <w:rsid w:val="753D7DE4"/>
    <w:rsid w:val="7F5D1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楷体_GB2312" w:hAnsi="Arial" w:eastAsia="楷体_GB2312"/>
      <w:sz w:val="28"/>
      <w:szCs w:val="28"/>
    </w:rPr>
  </w:style>
  <w:style w:type="paragraph" w:customStyle="1" w:styleId="5">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1309</Words>
  <Characters>1406</Characters>
  <Lines>0</Lines>
  <Paragraphs>0</Paragraphs>
  <TotalTime>4</TotalTime>
  <ScaleCrop>false</ScaleCrop>
  <LinksUpToDate>false</LinksUpToDate>
  <CharactersWithSpaces>1410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2024-07-02T11:21:00Z</dcterms:created>
  <dc:creator>笃信招标</dc:creator>
  <cp:lastModifiedBy>.</cp:lastModifiedBy>
  <dcterms:modified xsi:type="dcterms:W3CDTF">2024-11-08T06:48:44Z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5706EC47EAEB40D0B51F6B10EB287B83_13</vt:lpwstr>
  </property>
</Properties>
</file>