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bookmarkStart w:id="0" w:name="_GoBack"/>
      <w:bookmarkEnd w:id="0"/>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42B758AD"/>
    <w:rsid w:val="4A8805E4"/>
    <w:rsid w:val="595B260A"/>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2024-02-22T01:05:59Z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